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Adversarial Knowledge Base Audit: Identifying Systemic Flaws in the Wisdom Forcing Function (WFF) Foundation for Regenerative Governance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expert analysis performs a critical, adversarial audit of the proposed six-document knowledge base intended to ground the Wisdom Forcing Function (WFF) AI system. The goal is to identify systemic flaws, theoretical contradictions, and documented real-world vulnerabilities that compromise the knowledge base’s capacity to generate anti-capture, regenerative governance.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Incoherence: The Contradiction Between Closure and Conflict (Document 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severe theoretical flaw resides in the attempted synthesis of the </w:t>
      </w:r>
      <w:r w:rsidDel="00000000" w:rsidR="00000000" w:rsidRPr="00000000">
        <w:rPr>
          <w:rFonts w:ascii="Google Sans Text" w:cs="Google Sans Text" w:eastAsia="Google Sans Text" w:hAnsi="Google Sans Text"/>
          <w:b w:val="1"/>
          <w:color w:val="1b1c1d"/>
          <w:rtl w:val="0"/>
        </w:rPr>
        <w:t xml:space="preserve">Dialectical Method (Hegel)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Autopoietic Systems (Maturana/Varela)</w:t>
      </w:r>
      <w:r w:rsidDel="00000000" w:rsidR="00000000" w:rsidRPr="00000000">
        <w:rPr>
          <w:rFonts w:ascii="Google Sans Text" w:cs="Google Sans Text" w:eastAsia="Google Sans Text" w:hAnsi="Google Sans Text"/>
          <w:color w:val="1b1c1d"/>
          <w:rtl w:val="0"/>
        </w:rPr>
        <w:t xml:space="preserve"> within Document 1. These two philosophical paradigms represent fundamentally antithetical logics regarding systemic change, identity maintenance, and boundaries, rendering their unified application inherently unstable and prone to analytic paralysis.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Paradox of Self-Reference: Dialectics vs. Operational Closure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Autopoietic systems, derived from the study of living biological units, are defined by strict </w:t>
      </w:r>
      <w:r w:rsidDel="00000000" w:rsidR="00000000" w:rsidRPr="00000000">
        <w:rPr>
          <w:rFonts w:ascii="Google Sans Text" w:cs="Google Sans Text" w:eastAsia="Google Sans Text" w:hAnsi="Google Sans Text"/>
          <w:b w:val="1"/>
          <w:color w:val="1b1c1d"/>
          <w:rtl w:val="0"/>
        </w:rPr>
        <w:t xml:space="preserve">operational closure</w:t>
      </w:r>
      <w:r w:rsidDel="00000000" w:rsidR="00000000" w:rsidRPr="00000000">
        <w:rPr>
          <w:rFonts w:ascii="Google Sans Text" w:cs="Google Sans Text" w:eastAsia="Google Sans Text" w:hAnsi="Google Sans Text"/>
          <w:color w:val="1b1c1d"/>
          <w:rtl w:val="0"/>
        </w:rPr>
        <w:t xml:space="preserve">, circularity, and absolute self-reference.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autopoietic system’s primary aim is self-production, meaning identity and existing organization are paramount. The system is organizationally closed, making reference only to itself; the external environment is conceptually irrelevant except as perceived through internal self-referential operations.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Operational closure provides a high degree of defense against external perturbation, reinforcing established values and existing paradigms within organizational governance.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closure logic fundamentally contradicts Hegelian dialectics, which is an open system dynamic driven by negation and the sublation () of internal contradiction and necessary external interaction. The WFF is tasked with generating "novel synthesis." If the governance system is modeled as an operationally closed autopoietic system, its priority will be internal stabilization and paradigm reinforcement.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system will therefore default to self-preservation over genuine evolutionary change, sacrificing its capacity for novel, radical synthesis in favor of predictable self-renewal, effectively becoming a stable, anti-evolutionary artifact.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Inadequacy of the Meta-Synthesis (Document 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categorical distinction between a genuinely autopoietic system (physical/biological) and a functionally autonomous unity (social/linguistic) breaks down under the functional closure model necessary for applying autopoiesis to the social domain.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attempt to extend autopoiesis often fails because the system’s components (human beings) and its processes (communication/linguistics) belong to different domains, necessitating the shift adopted by Luhmann, where social systems are constituted by interrelations and communicative acts.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Document 6, the Meta-Synthesis, must resolve this inherent conflict. If the WFF adopts the Luhmannian definition of functional closure, it compromises the knowledge base’s claim to be "biophysically grounded." The consequence is that the system risks mistaking mere organizational </w:t>
      </w:r>
      <w:r w:rsidDel="00000000" w:rsidR="00000000" w:rsidRPr="00000000">
        <w:rPr>
          <w:rFonts w:ascii="Google Sans Text" w:cs="Google Sans Text" w:eastAsia="Google Sans Text" w:hAnsi="Google Sans Text"/>
          <w:b w:val="1"/>
          <w:color w:val="1b1c1d"/>
          <w:rtl w:val="0"/>
        </w:rPr>
        <w:t xml:space="preserve">viability</w:t>
      </w:r>
      <w:r w:rsidDel="00000000" w:rsidR="00000000" w:rsidRPr="00000000">
        <w:rPr>
          <w:rFonts w:ascii="Google Sans Text" w:cs="Google Sans Text" w:eastAsia="Google Sans Text" w:hAnsi="Google Sans Text"/>
          <w:color w:val="1b1c1d"/>
          <w:rtl w:val="0"/>
        </w:rPr>
        <w:t xml:space="preserve">—the ability to survive under current operating assumptions—for true, thermodynamically grounded self-production (Maturana/Varela’s original, strict definition). The WFF will emerge as theoretically soft, built upon a functional closure that permits stability but inhibits the necessary internal conflict required for dialectical progression.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Biophysical Ultimatum: Thermodynamic Gaps and Growth Denial (Document 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knowledge base’s commitment to being "thermodynamically and biophysically grounded" is critically jeopardized by any ambiguity regarding material and energy limits, particularly if it compromises the strict necessity of de-growth for politically palatable sustainable growth models.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Georgescu-Roegen’s Entropy Law as the Hard Limit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WFF to maintain foundational rigor, it must adhere to the strictest interpretation of Nicholas Georgescu-Roegen’s </w:t>
      </w:r>
      <w:r w:rsidDel="00000000" w:rsidR="00000000" w:rsidRPr="00000000">
        <w:rPr>
          <w:rFonts w:ascii="Google Sans Text" w:cs="Google Sans Text" w:eastAsia="Google Sans Text" w:hAnsi="Google Sans Text"/>
          <w:i w:val="1"/>
          <w:color w:val="1b1c1d"/>
          <w:rtl w:val="0"/>
        </w:rPr>
        <w:t xml:space="preserve">The Entropy Law and the Economic Process</w:t>
      </w:r>
      <w:r w:rsidDel="00000000" w:rsidR="00000000" w:rsidRPr="00000000">
        <w:rPr>
          <w:rFonts w:ascii="Google Sans Text" w:cs="Google Sans Text" w:eastAsia="Google Sans Text" w:hAnsi="Google Sans Text"/>
          <w:color w:val="1b1c1d"/>
          <w:rtl w:val="0"/>
        </w:rPr>
        <w:t xml:space="preserve"> (1971), which posits that the irreversible degradation of useful energy (low entropy) into useless energy (high entropy) dictates that economic de-growth is </w:t>
      </w:r>
      <w:r w:rsidDel="00000000" w:rsidR="00000000" w:rsidRPr="00000000">
        <w:rPr>
          <w:rFonts w:ascii="Google Sans Text" w:cs="Google Sans Text" w:eastAsia="Google Sans Text" w:hAnsi="Google Sans Text"/>
          <w:b w:val="1"/>
          <w:color w:val="1b1c1d"/>
          <w:rtl w:val="0"/>
        </w:rPr>
        <w:t xml:space="preserve">inescapable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provides a critical stress test for Document 4 (</w:t>
      </w:r>
      <w:r w:rsidDel="00000000" w:rsidR="00000000" w:rsidRPr="00000000">
        <w:rPr>
          <w:rFonts w:ascii="Google Sans Text" w:cs="Google Sans Text" w:eastAsia="Google Sans Text" w:hAnsi="Google Sans Text"/>
          <w:i w:val="1"/>
          <w:color w:val="1b1c1d"/>
          <w:rtl w:val="0"/>
        </w:rPr>
        <w:t xml:space="preserve">Anti-Capitalist Economics &amp; Solidarity Economy</w:t>
      </w:r>
      <w:r w:rsidDel="00000000" w:rsidR="00000000" w:rsidRPr="00000000">
        <w:rPr>
          <w:rFonts w:ascii="Google Sans Text" w:cs="Google Sans Text" w:eastAsia="Google Sans Text" w:hAnsi="Google Sans Text"/>
          <w:color w:val="1b1c1d"/>
          <w:rtl w:val="0"/>
        </w:rPr>
        <w:t xml:space="preserve">). The historical record shows that even organizations initially influenced by Georgescu-Roegen, such as the Club of Rome, eventually pursued a less firm view of "</w:t>
      </w:r>
      <w:r w:rsidDel="00000000" w:rsidR="00000000" w:rsidRPr="00000000">
        <w:rPr>
          <w:rFonts w:ascii="Google Sans Text" w:cs="Google Sans Text" w:eastAsia="Google Sans Text" w:hAnsi="Google Sans Text"/>
          <w:b w:val="1"/>
          <w:color w:val="1b1c1d"/>
          <w:rtl w:val="0"/>
        </w:rPr>
        <w:t xml:space="preserve">sustainable growth</w:t>
      </w:r>
      <w:r w:rsidDel="00000000" w:rsidR="00000000" w:rsidRPr="00000000">
        <w:rPr>
          <w:rFonts w:ascii="Google Sans Text" w:cs="Google Sans Text" w:eastAsia="Google Sans Text" w:hAnsi="Google Sans Text"/>
          <w:color w:val="1b1c1d"/>
          <w:rtl w:val="0"/>
        </w:rPr>
        <w:t xml:space="preserve">," relying heavily on technological optimism and ambitions for global management.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Document 4’s source material contains concepts such as "green growth" or "decoupling," it inherits this same theoretical leakage—a political compromise that attempts to manage growth rather than accept structural reduction. Any governance model generated by the WFF that allows for the political management of growth rather than the structural necessity of reduction fails the thermodynamic stress test, resulting in designs focused on resource optimization that inevitably lead to collapse when confronted with hard biophysical boundaries.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Critique of Practical Regenerative Language: Linguistic Neutralization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Even when grounded in anti-capitalist intent, the output language of "regenerative governance" is immediately vulnerable to neutralization by corporate greenwashing. Corporations are already actively engaging in the linguistic co-optation of terms like "Regenerative Agriculture" (RA). Major entities such as Nestlé, PepsiCo, and Walmart have announced vast investment and acreage targets for RA, successfully integrating the terminology into existing, centralized supply chain and profit-driven models.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capture neutralizes the underlying anti-capitalist intent. The concept of "regenerative development" (RDD) suggests harmony between humans and natural systems, yet policies based on this concept risk controversy when the explicit language focuses on abstract outcomes rather than on enabling the essential </w:t>
      </w:r>
      <w:r w:rsidDel="00000000" w:rsidR="00000000" w:rsidRPr="00000000">
        <w:rPr>
          <w:rFonts w:ascii="Google Sans Text" w:cs="Google Sans Text" w:eastAsia="Google Sans Text" w:hAnsi="Google Sans Text"/>
          <w:b w:val="1"/>
          <w:color w:val="1b1c1d"/>
          <w:rtl w:val="0"/>
        </w:rPr>
        <w:t xml:space="preserve">self-determination and value-adding capacity of the relevant communities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indicates that the language of regeneration is often detached from the necessary legal and political framework of local control. Consequently, the WFF must hard-code legal and structural defenses into its regenerative designs that are impossible to execute under a centralized, profit-driven model. Otherwise, the AI will generate easily neutralized "best practices" rather than genuinely transformative, anti-capture governance structures.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Architecture of Capture: Vulnerability Mapping of Governance Frameworks (Documents 3 &amp; 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reliance on Elinor Ostrom’s Commons Governance (Document 3) and general Solidarity Economy models (Document 4) exposes the WFF to highly documented, real-world capture mechanisms employed by both corporate and state actors.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Polycentricity’s Fragility: Failure Modes in Scaling and Resilience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Ostrom’s polycentric models, while effective at the small scale where monitoring and social trust are high, have numerous, documented failure modes that directly threaten a system designed for large-scale systemic regeneration. These include the emergence of local tyrannies, inappropriate discrimination, corruption and rent-seeking behavior, and, critically, an </w:t>
      </w:r>
      <w:r w:rsidDel="00000000" w:rsidR="00000000" w:rsidRPr="00000000">
        <w:rPr>
          <w:rFonts w:ascii="Google Sans Text" w:cs="Google Sans Text" w:eastAsia="Google Sans Text" w:hAnsi="Google Sans Text"/>
          <w:b w:val="1"/>
          <w:color w:val="1b1c1d"/>
          <w:rtl w:val="0"/>
        </w:rPr>
        <w:t xml:space="preserve">inability to cope with larger-scale common-pool resources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scaling mismatch is fatal given the WFF’s mandate within the context of </w:t>
      </w:r>
      <w:r w:rsidDel="00000000" w:rsidR="00000000" w:rsidRPr="00000000">
        <w:rPr>
          <w:rFonts w:ascii="Google Sans Text" w:cs="Google Sans Text" w:eastAsia="Google Sans Text" w:hAnsi="Google Sans Text"/>
          <w:i w:val="1"/>
          <w:color w:val="1b1c1d"/>
          <w:rtl w:val="0"/>
        </w:rPr>
        <w:t xml:space="preserve">Planetary Urbanization</w:t>
      </w:r>
      <w:r w:rsidDel="00000000" w:rsidR="00000000" w:rsidRPr="00000000">
        <w:rPr>
          <w:rFonts w:ascii="Google Sans Text" w:cs="Google Sans Text" w:eastAsia="Google Sans Text" w:hAnsi="Google Sans Text"/>
          <w:color w:val="1b1c1d"/>
          <w:rtl w:val="0"/>
        </w:rPr>
        <w:t xml:space="preserve"> (Document 5). The complexity and rapid endogenous changes of modern, scaled systems are ill-equipped for localized polycentric models.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Furthermore, self-governance models are brittle without higher-level, supportive institutions providing reliable information collection, fair conflict-resolution mechanisms, and facilities to assist during major local problems.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supportive institutions are frequently the primary point of external capture or internal failure. Compounding this, the defense strategies against enclosure are flawed: the theoretical notion that privatization or Coasian bargaining can solve the tragedy of the commons is largely a </w:t>
      </w:r>
      <w:r w:rsidDel="00000000" w:rsidR="00000000" w:rsidRPr="00000000">
        <w:rPr>
          <w:rFonts w:ascii="Google Sans Text" w:cs="Google Sans Text" w:eastAsia="Google Sans Text" w:hAnsi="Google Sans Text"/>
          <w:b w:val="1"/>
          <w:color w:val="1b1c1d"/>
          <w:rtl w:val="0"/>
        </w:rPr>
        <w:t xml:space="preserve">myth</w:t>
      </w:r>
      <w:r w:rsidDel="00000000" w:rsidR="00000000" w:rsidRPr="00000000">
        <w:rPr>
          <w:rFonts w:ascii="Google Sans Text" w:cs="Google Sans Text" w:eastAsia="Google Sans Text" w:hAnsi="Google Sans Text"/>
          <w:color w:val="1b1c1d"/>
          <w:rtl w:val="0"/>
        </w:rPr>
        <w:t xml:space="preserve">, as real-world mechanisms like environmental trading and water markets still rely heavily on government regulation to set the fundamental parameters of resource use.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Neoliberal Co-optation Vectors of the Solidarity Economy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anti-capitalist intent of Document 4’s Solidarity Economy framework is systematically neutralized by two primary vectors of capture.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First, </w:t>
      </w:r>
      <w:r w:rsidDel="00000000" w:rsidR="00000000" w:rsidRPr="00000000">
        <w:rPr>
          <w:rFonts w:ascii="Google Sans Text" w:cs="Google Sans Text" w:eastAsia="Google Sans Text" w:hAnsi="Google Sans Text"/>
          <w:b w:val="1"/>
          <w:color w:val="1b1c1d"/>
          <w:rtl w:val="0"/>
        </w:rPr>
        <w:t xml:space="preserve">Corporate Co-optation</w:t>
      </w:r>
      <w:r w:rsidDel="00000000" w:rsidR="00000000" w:rsidRPr="00000000">
        <w:rPr>
          <w:rFonts w:ascii="Google Sans Text" w:cs="Google Sans Text" w:eastAsia="Google Sans Text" w:hAnsi="Google Sans Text"/>
          <w:color w:val="1b1c1d"/>
          <w:rtl w:val="0"/>
        </w:rPr>
        <w:t xml:space="preserve">: The co-op movement often faces infiltration where capitalist actors are invited to sponsor and define policy summits, thereby allowing corporations (even those deemed "criminal") to present themselves as "trusted allies" of co-ops.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form of informal co-optation, functionally indistinguishable from the corrupt sale of political influence.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process involves neutralizing anti-capitalist intent by adopting and promoting the corporate framing of "enlightened co-op governance" without fundamentally altering the profit structure.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 </w:t>
      </w:r>
      <w:r w:rsidDel="00000000" w:rsidR="00000000" w:rsidRPr="00000000">
        <w:rPr>
          <w:rFonts w:ascii="Google Sans Text" w:cs="Google Sans Text" w:eastAsia="Google Sans Text" w:hAnsi="Google Sans Text"/>
          <w:b w:val="1"/>
          <w:color w:val="1b1c1d"/>
          <w:rtl w:val="0"/>
        </w:rPr>
        <w:t xml:space="preserve">State Co-optation</w:t>
      </w:r>
      <w:r w:rsidDel="00000000" w:rsidR="00000000" w:rsidRPr="00000000">
        <w:rPr>
          <w:rFonts w:ascii="Google Sans Text" w:cs="Google Sans Text" w:eastAsia="Google Sans Text" w:hAnsi="Google Sans Text"/>
          <w:color w:val="1b1c1d"/>
          <w:rtl w:val="0"/>
        </w:rPr>
        <w:t xml:space="preserve">: Emancipatory movements risk the possible </w:t>
      </w:r>
      <w:r w:rsidDel="00000000" w:rsidR="00000000" w:rsidRPr="00000000">
        <w:rPr>
          <w:rFonts w:ascii="Google Sans Text" w:cs="Google Sans Text" w:eastAsia="Google Sans Text" w:hAnsi="Google Sans Text"/>
          <w:b w:val="1"/>
          <w:color w:val="1b1c1d"/>
          <w:rtl w:val="0"/>
        </w:rPr>
        <w:t xml:space="preserve">co-optation by the State</w:t>
      </w:r>
      <w:r w:rsidDel="00000000" w:rsidR="00000000" w:rsidRPr="00000000">
        <w:rPr>
          <w:rFonts w:ascii="Google Sans Text" w:cs="Google Sans Text" w:eastAsia="Google Sans Text" w:hAnsi="Google Sans Text"/>
          <w:color w:val="1b1c1d"/>
          <w:rtl w:val="0"/>
        </w:rPr>
        <w:t xml:space="preserve"> when they establish closer policy relationships with governmental actors.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formal capture mechanism uses the desire for legitimacy and scale to control the movement’s political trajectory and resource allocation, turning the governance system into a politically managed administrative arm of the existing capitalist system. Neoliberalism is resilient because it functions as a pervasive framework of self-government, nurturing competitive mechanisms and utilizing biopolitical racism to define who must live and who must die, thus accommodating or neutralizing non-state alternatives within its matrix.</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systematic vulnerabilities inherent in these frameworks are summarized below:</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Co-optation Vectors and Vulnerability Points in Governance Frameworks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 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Commons Governance (Ostrom)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Solidarity/Cooperative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Regenerative Language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Structural/Political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Rent-seeking, local tyrannies, inability to scale to larger CPRs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State capture through closer governmental relationship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Undermining anti-growth coalitions by new right-wing politics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Epistemological/Linguistic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Exclusion of Indigenous/Decolonial perspectives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Capitalist framing of enlightened co-op governance, neutralization of intent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Corporate greenwashing; lack of explicit self-determination principles in policy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Legal/Institutional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Myth of privatization solution replacing genuine regulation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 lack of supportive institutions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Inviting criminal corporations to define global co-op policy summits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Loss of temporal sovereignty of the state due to economic acceleration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Legal and Temporal Defense Mechanisms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the WFF's outputs can be temporal. The neoliberal state is characterized by the loss of </w:t>
      </w:r>
      <w:r w:rsidDel="00000000" w:rsidR="00000000" w:rsidRPr="00000000">
        <w:rPr>
          <w:rFonts w:ascii="Google Sans Text" w:cs="Google Sans Text" w:eastAsia="Google Sans Text" w:hAnsi="Google Sans Text"/>
          <w:b w:val="1"/>
          <w:color w:val="1b1c1d"/>
          <w:rtl w:val="0"/>
        </w:rPr>
        <w:t xml:space="preserve">temporal sovereignty</w:t>
      </w:r>
      <w:r w:rsidDel="00000000" w:rsidR="00000000" w:rsidRPr="00000000">
        <w:rPr>
          <w:rFonts w:ascii="Google Sans Text" w:cs="Google Sans Text" w:eastAsia="Google Sans Text" w:hAnsi="Google Sans Text"/>
          <w:color w:val="1b1c1d"/>
          <w:rtl w:val="0"/>
        </w:rPr>
        <w:t xml:space="preserve">, where the acceleration of economic activity dictates political decision-making horizons.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To be anti-capture, WFF governance models must be structurally and legally asynchronous, designed to resist market acceleration.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anti-capture requires transitioning from abstract principles to specific, enforceable legal instruments. Models like the Community Land Trust (CLT) provide a blueprint for this necessary legal rigor, specifying detailed requirements for incorporation, bylaws, the Model Ground Lease, and, most crucially, the </w:t>
      </w:r>
      <w:r w:rsidDel="00000000" w:rsidR="00000000" w:rsidRPr="00000000">
        <w:rPr>
          <w:rFonts w:ascii="Google Sans Text" w:cs="Google Sans Text" w:eastAsia="Google Sans Text" w:hAnsi="Google Sans Text"/>
          <w:b w:val="1"/>
          <w:color w:val="1b1c1d"/>
          <w:rtl w:val="0"/>
        </w:rPr>
        <w:t xml:space="preserve">enforceability of the preemptive right</w:t>
      </w:r>
      <w:r w:rsidDel="00000000" w:rsidR="00000000" w:rsidRPr="00000000">
        <w:rPr>
          <w:rFonts w:ascii="Google Sans Text" w:cs="Google Sans Text" w:eastAsia="Google Sans Text" w:hAnsi="Google Sans Text"/>
          <w:color w:val="1b1c1d"/>
          <w:rtl w:val="0"/>
        </w:rPr>
        <w:t xml:space="preserve">—the key mechanism that defeats intergenerational speculation and enclosure.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WFF must design governance systems that not only codify internal rules but also mandate the creation of specific legal instruments that defend against political or economic enclosure over centuries.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Silences of Space: Epistemological Limits in Critical Urban Theory (Documents 2 &amp; 5)</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spatial grounding provided by Documents 2 (</w:t>
      </w:r>
      <w:r w:rsidDel="00000000" w:rsidR="00000000" w:rsidRPr="00000000">
        <w:rPr>
          <w:rFonts w:ascii="Google Sans Text" w:cs="Google Sans Text" w:eastAsia="Google Sans Text" w:hAnsi="Google Sans Text"/>
          <w:i w:val="1"/>
          <w:color w:val="1b1c1d"/>
          <w:rtl w:val="0"/>
        </w:rPr>
        <w:t xml:space="preserve">Production of Space</w:t>
      </w:r>
      <w:r w:rsidDel="00000000" w:rsidR="00000000" w:rsidRPr="00000000">
        <w:rPr>
          <w:rFonts w:ascii="Google Sans Text" w:cs="Google Sans Text" w:eastAsia="Google Sans Text" w:hAnsi="Google Sans Text"/>
          <w:color w:val="1b1c1d"/>
          <w:rtl w:val="0"/>
        </w:rPr>
        <w:t xml:space="preserve">) and 5 (</w:t>
      </w:r>
      <w:r w:rsidDel="00000000" w:rsidR="00000000" w:rsidRPr="00000000">
        <w:rPr>
          <w:rFonts w:ascii="Google Sans Text" w:cs="Google Sans Text" w:eastAsia="Google Sans Text" w:hAnsi="Google Sans Text"/>
          <w:i w:val="1"/>
          <w:color w:val="1b1c1d"/>
          <w:rtl w:val="0"/>
        </w:rPr>
        <w:t xml:space="preserve">Planetary Urbanization</w:t>
      </w:r>
      <w:r w:rsidDel="00000000" w:rsidR="00000000" w:rsidRPr="00000000">
        <w:rPr>
          <w:rFonts w:ascii="Google Sans Text" w:cs="Google Sans Text" w:eastAsia="Google Sans Text" w:hAnsi="Google Sans Text"/>
          <w:color w:val="1b1c1d"/>
          <w:rtl w:val="0"/>
        </w:rPr>
        <w:t xml:space="preserve">) suffers from traditional limitations inherent in their source material (Lefebvre, Harvey, Brenner/Schmid), particularly concerning intersectionality and colonial history, restricting the WFF’s ability to achieve genuine spatial justice.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Intersectional Blind Spots and the Failure to Account for Inequality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Classical Marxist urban theory often prioritizes the lens of class and capital accumulation, leading to inherent blind spots regarding other axes of power. David Harvey’s overall approach, while critical, is noted for requiring the explicit addition of </w:t>
      </w:r>
      <w:r w:rsidDel="00000000" w:rsidR="00000000" w:rsidRPr="00000000">
        <w:rPr>
          <w:rFonts w:ascii="Google Sans Text" w:cs="Google Sans Text" w:eastAsia="Google Sans Text" w:hAnsi="Google Sans Text"/>
          <w:b w:val="1"/>
          <w:color w:val="1b1c1d"/>
          <w:rtl w:val="0"/>
        </w:rPr>
        <w:t xml:space="preserve">gender, race, and "post-colonialism"</w:t>
      </w:r>
      <w:r w:rsidDel="00000000" w:rsidR="00000000" w:rsidRPr="00000000">
        <w:rPr>
          <w:rFonts w:ascii="Google Sans Text" w:cs="Google Sans Text" w:eastAsia="Google Sans Text" w:hAnsi="Google Sans Text"/>
          <w:color w:val="1b1c1d"/>
          <w:rtl w:val="0"/>
        </w:rPr>
        <w:t xml:space="preserve"> to adequately capture the comprehensive history and reality of urban dynamics.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of Planetary Urbanization is instrumental in interrogating geo-economic processes but </w:t>
      </w:r>
      <w:r w:rsidDel="00000000" w:rsidR="00000000" w:rsidRPr="00000000">
        <w:rPr>
          <w:rFonts w:ascii="Google Sans Text" w:cs="Google Sans Text" w:eastAsia="Google Sans Text" w:hAnsi="Google Sans Text"/>
          <w:b w:val="1"/>
          <w:color w:val="1b1c1d"/>
          <w:rtl w:val="0"/>
        </w:rPr>
        <w:t xml:space="preserve">cannot account for the intersectional inequalities</w:t>
      </w:r>
      <w:r w:rsidDel="00000000" w:rsidR="00000000" w:rsidRPr="00000000">
        <w:rPr>
          <w:rFonts w:ascii="Google Sans Text" w:cs="Google Sans Text" w:eastAsia="Google Sans Text" w:hAnsi="Google Sans Text"/>
          <w:color w:val="1b1c1d"/>
          <w:rtl w:val="0"/>
        </w:rPr>
        <w:t xml:space="preserve"> that neoliberal regimes actively reproduce.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If the WFF relies predominantly on these frameworks, its designs for regenerative space, though anti-capitalist, risk perpetuating racialized or gendered spatial divisions. A system trained on class-reductionist theory will generate equitable land distribution patterns but fail to address the biopolitical racism and cultural hierarchies maintained by the state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leading to governance that is structurally regenerative but socially exclusive.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Epistemological Extractivism and Decolonial Omission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Western Commons theory often operates within a colonial framework that presumes the state’s ultimate authority over land management. This paradigm is inadequate for resolving the biodiversity crisis or achieving genuine justice.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State-led conservation itself has historically reinforced colonial power by alienating Indigenous peoples from their territories for capitalist gain.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necessary alternative lies in integrating Indigenous-led governance systems, such as Indigenous Protected and Conserved Areas (IPCAs), which are rooted in Indigenous law and worldviews that assert sovereignty and reciprocal relationships (Natural Law).</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IPCAs represent a fundamental paradigm shift away from the colonial approach that separates humans and nature.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If the WFF merely attempts to abstract or incorporate Indigenous knowledge systems (e.g., resource management patterns) without adopting the underlying legal framework of sovereignty and self-determination, it commits an act of </w:t>
      </w:r>
      <w:r w:rsidDel="00000000" w:rsidR="00000000" w:rsidRPr="00000000">
        <w:rPr>
          <w:rFonts w:ascii="Google Sans Text" w:cs="Google Sans Text" w:eastAsia="Google Sans Text" w:hAnsi="Google Sans Text"/>
          <w:b w:val="1"/>
          <w:color w:val="1b1c1d"/>
          <w:rtl w:val="0"/>
        </w:rPr>
        <w:t xml:space="preserve">epistemological extractivism</w:t>
      </w:r>
      <w:r w:rsidDel="00000000" w:rsidR="00000000" w:rsidRPr="00000000">
        <w:rPr>
          <w:rFonts w:ascii="Google Sans Text" w:cs="Google Sans Text" w:eastAsia="Google Sans Text" w:hAnsi="Google Sans Text"/>
          <w:color w:val="1b1c1d"/>
          <w:rtl w:val="0"/>
        </w:rPr>
        <w:t xml:space="preserve">. The knowledge is treated as a resource to be optimized within a Western analytic framework, ensuring the WFF fails to generate truly non-extractive, novel synthesis.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Diagnosis and Critical Recommendations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WFF knowledge base is structurally compromised by theoretical conflicts and demonstrable vulnerabilities to capture. Its reliance on closed system logic for social change (Autopoiesis), politically soft biophysical limits ("sustainable growth"), and models highly susceptible to corporate and state neutralization (Ostrom/Solidarity Economy) undermines its stated purpose.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Synthesis of Systemic Flaws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Knowledge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Consequence for WFF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Dialectics &amp; Autopoiesis (Doc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Incompatible System Logics (Closure vs. Conflict)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Inability to model genuine systemic change; theoretical paralysis in achieving "novel synthesis."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Degrowth/Anti-Capitalist Economics (Doc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Thermodynamic Compromise: Ambiguity regarding absolute limits and sustainable growth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Governance designs risk eventual biophysical collapse by failing to prioritize minimization over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Ostrom &amp; Commons (Doc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Vulnerability to Local Capture, Institutional Decay, Failure to Scale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Governance models become localized monopolies incapable of forming resilient, large-scale networks.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Production of Space &amp; Planetary Urbanization (Docs 2,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Epistemological Blind Spots (Race, Gender, Decoloniality)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Designs perpetuate structural inequality and extractivist relationships through flawed spatial theory.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Meta-Synthesis (Doc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Generative language unprotected against corporate co-optation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WFF output is easily neutralized and redefined by capitalist supply chains and management consultants.</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Critical Recommendations for Mitigation and Restructuring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WFF requires immediate corrective action to secure its foundation and operational outputs:</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Redefine Foundational System Dynamics:</w:t>
      </w:r>
      <w:r w:rsidDel="00000000" w:rsidR="00000000" w:rsidRPr="00000000">
        <w:rPr>
          <w:rFonts w:ascii="Google Sans Text" w:cs="Google Sans Text" w:eastAsia="Google Sans Text" w:hAnsi="Google Sans Text"/>
          <w:color w:val="1b1c1d"/>
          <w:rtl w:val="0"/>
        </w:rPr>
        <w:t xml:space="preserve"> The system must abandon strict autopoietic closure for social systems. It must be modeled as a structurally coupled system whose identity is maintained through the management of dialectical conflict with its external environment (capitalism, neoliberal state). This ensures that the WFF can adapt and evolve without sacrificing integrity.</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Hard Constraint Enforcement:</w:t>
      </w:r>
      <w:r w:rsidDel="00000000" w:rsidR="00000000" w:rsidRPr="00000000">
        <w:rPr>
          <w:rFonts w:ascii="Google Sans Text" w:cs="Google Sans Text" w:eastAsia="Google Sans Text" w:hAnsi="Google Sans Text"/>
          <w:color w:val="1b1c1d"/>
          <w:rtl w:val="0"/>
        </w:rPr>
        <w:t xml:space="preserve"> Document 4 must be revised to integrate Georgescu-Roegen's Entropy Law as a mandatory, hard constraint, accepting that </w:t>
      </w:r>
      <w:r w:rsidDel="00000000" w:rsidR="00000000" w:rsidRPr="00000000">
        <w:rPr>
          <w:rFonts w:ascii="Google Sans Text" w:cs="Google Sans Text" w:eastAsia="Google Sans Text" w:hAnsi="Google Sans Text"/>
          <w:b w:val="1"/>
          <w:color w:val="1b1c1d"/>
          <w:rtl w:val="0"/>
        </w:rPr>
        <w:t xml:space="preserve">de-growth is inescapable</w:t>
      </w:r>
      <w:r w:rsidDel="00000000" w:rsidR="00000000" w:rsidRPr="00000000">
        <w:rPr>
          <w:rFonts w:ascii="Google Sans Text" w:cs="Google Sans Text" w:eastAsia="Google Sans Text" w:hAnsi="Google Sans Text"/>
          <w:color w:val="1b1c1d"/>
          <w:rtl w:val="0"/>
        </w:rPr>
        <w:t xml:space="preserve">. All concepts related to technologically managed or politically negotiated "sustainable growth" must be removed to ensure biophysical rigor.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Mandate Decolonial Legal Sovereignty:</w:t>
      </w:r>
      <w:r w:rsidDel="00000000" w:rsidR="00000000" w:rsidRPr="00000000">
        <w:rPr>
          <w:rFonts w:ascii="Google Sans Text" w:cs="Google Sans Text" w:eastAsia="Google Sans Text" w:hAnsi="Google Sans Text"/>
          <w:color w:val="1b1c1d"/>
          <w:rtl w:val="0"/>
        </w:rPr>
        <w:t xml:space="preserve"> The spatial and governance frameworks must be fundamentally restructured to integrate Indigenous legal frameworks (e.g., the relational and sovereign principles underlying IPCAs) as the non-extractive foundation for land tenure and relational governance.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ensures that designs are robust against intersectional capture and colonial extractivism, moving beyond class-centric analysis.</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Proactive Legal and Temporal Immunization:</w:t>
      </w:r>
      <w:r w:rsidDel="00000000" w:rsidR="00000000" w:rsidRPr="00000000">
        <w:rPr>
          <w:rFonts w:ascii="Google Sans Text" w:cs="Google Sans Text" w:eastAsia="Google Sans Text" w:hAnsi="Google Sans Text"/>
          <w:color w:val="1b1c1d"/>
          <w:rtl w:val="0"/>
        </w:rPr>
        <w:t xml:space="preserve"> Governance models generated by the WFF must include explicit, legally robust defenses against institutional decay (e.g., mandatory intergenerational memory transfer protocols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corporate neutralization (e.g., highly detailed, non-negotiable legal instruments like the CLT Ground Lease preemptive right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mechanisms must also be engineered to be temporally asynchronous with accelerated market cycles to protect the community from the destabilizing loss of temporal sovereignty associated with the neoliberal economy.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ways to understand organizational change - Dr Doug Belshaw,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https://dougbelshaw.com/blog/2009/06/26/four-ways-to-understand-organizational-change/</w:t>
        </w:r>
      </w:hyperlink>
      <w:r w:rsidDel="00000000" w:rsidR="00000000" w:rsidRPr="00000000">
        <w:rPr>
          <w:rtl w:val="0"/>
        </w:rPr>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Closure and Self-Reference: On the Logic of Organizational Change,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https://www.researchgate.net/publication/229139482_Operational_Closure_and_Self-Reference_On_the_Logic_of_Organizational_Change</w:t>
        </w:r>
      </w:hyperlink>
      <w:r w:rsidDel="00000000" w:rsidR="00000000" w:rsidRPr="00000000">
        <w:rPr>
          <w:rtl w:val="0"/>
        </w:rPr>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Geyer and van der Zouwen (eds.) Sociocybernetics: Complexity, Autopoiesis, and Observation of Social Systems - JASSS,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https://jasss.soc.surrey.ac.uk/6/1/reviews/goldspink.html</w:t>
        </w:r>
      </w:hyperlink>
      <w:r w:rsidDel="00000000" w:rsidR="00000000" w:rsidRPr="00000000">
        <w:rPr>
          <w:rtl w:val="0"/>
        </w:rPr>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de-growth be considered a policy option? A historical note on ...,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https://ideas.repec.org/a/eee/ecolec/v69y2010i11p2271-2278.html</w:t>
        </w:r>
      </w:hyperlink>
      <w:r w:rsidDel="00000000" w:rsidR="00000000" w:rsidRPr="00000000">
        <w:rPr>
          <w:rtl w:val="0"/>
        </w:rPr>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The co-optation of regenerative agriculture: revisiting the corporate environmental food regime - Taylor &amp; Francis Online,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https://www.tandfonline.com/doi/full/10.1080/14747731.2024.2397260</w:t>
        </w:r>
      </w:hyperlink>
      <w:r w:rsidDel="00000000" w:rsidR="00000000" w:rsidRPr="00000000">
        <w:rPr>
          <w:rtl w:val="0"/>
        </w:rPr>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research study by Leen Gorissen, Karla Bonaldi, Piet Haerens and Lénia Rato - Health Belgium,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https://www.health.belgium.be/sites/default/files/uploads/fields/fpshealth_theme_file/study_regnerativedevelopment.pdf</w:t>
        </w:r>
      </w:hyperlink>
      <w:r w:rsidDel="00000000" w:rsidR="00000000" w:rsidRPr="00000000">
        <w:rPr>
          <w:rtl w:val="0"/>
        </w:rPr>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Is Polycentric Governance Sustainable? Using Institutional Theory to Identify Endogenous Drivers of Dysfunctional Dynamics,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https://mcginnis.pages.iu.edu/When%20Is%20Polycentric%20Governance%20Sustainable%20WS%20colloq.pdf</w:t>
        </w:r>
      </w:hyperlink>
      <w:r w:rsidDel="00000000" w:rsidR="00000000" w:rsidRPr="00000000">
        <w:rPr>
          <w:rtl w:val="0"/>
        </w:rPr>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Commons Governance - Mutual Credit Services,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https://www.mutualcredit.services/commons-governance</w:t>
        </w:r>
      </w:hyperlink>
      <w:r w:rsidDel="00000000" w:rsidR="00000000" w:rsidRPr="00000000">
        <w:rPr>
          <w:rtl w:val="0"/>
        </w:rPr>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Tragedy of the Commons and the Myth of a Private Property Solution" by Amy Sinden,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https://scholar.law.colorado.edu/lawreview/vol78/iss2/4/</w:t>
        </w:r>
      </w:hyperlink>
      <w:r w:rsidDel="00000000" w:rsidR="00000000" w:rsidRPr="00000000">
        <w:rPr>
          <w:rtl w:val="0"/>
        </w:rPr>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Neoliberal Co-optation of Leading Co-op Organizations, and a ...,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https://monthlyreview.org/articles/neoliberal-co-optation-of-leading-co-op-organizations-and-a-socialist-counter-politics-of-cooperation/</w:t>
        </w:r>
      </w:hyperlink>
      <w:r w:rsidDel="00000000" w:rsidR="00000000" w:rsidRPr="00000000">
        <w:rPr>
          <w:rtl w:val="0"/>
        </w:rPr>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Co-option - Wikipedia,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https://en.wikipedia.org/wiki/Co-option</w:t>
        </w:r>
      </w:hyperlink>
      <w:r w:rsidDel="00000000" w:rsidR="00000000" w:rsidRPr="00000000">
        <w:rPr>
          <w:rtl w:val="0"/>
        </w:rPr>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History of Relations Between the State and the Solidarity Economy Movement in Brazil: Looking from Autonomies' Perspective - Redalyc,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https://www.redalyc.org/journal/3871/387174971004/html/</w:t>
        </w:r>
      </w:hyperlink>
      <w:r w:rsidDel="00000000" w:rsidR="00000000" w:rsidRPr="00000000">
        <w:rPr>
          <w:rtl w:val="0"/>
        </w:rPr>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Governing the resilience of neoliberalism through biopolitics - PMC - PubMed Central,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https://pmc.ncbi.nlm.nih.gov/articles/PMC5732618/</w:t>
        </w:r>
      </w:hyperlink>
      <w:r w:rsidDel="00000000" w:rsidR="00000000" w:rsidRPr="00000000">
        <w:rPr>
          <w:rtl w:val="0"/>
        </w:rPr>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state without a future: neoliberal despotism, crisis-fighting, and government through fear,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https://www.tandfonline.com/doi/full/10.1080/2158379X.2023.2298966</w:t>
        </w:r>
      </w:hyperlink>
      <w:r w:rsidDel="00000000" w:rsidR="00000000" w:rsidRPr="00000000">
        <w:rPr>
          <w:rtl w:val="0"/>
        </w:rPr>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Decolonial conservation: establishing Indigenous Protected Areas ...,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https://journals.librarypublishing.arizona.edu/jpe/article/4716/galley/4727/view/</w:t>
        </w:r>
      </w:hyperlink>
      <w:r w:rsidDel="00000000" w:rsidR="00000000" w:rsidRPr="00000000">
        <w:rPr>
          <w:rtl w:val="0"/>
        </w:rPr>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Land Trust Technical Manual - Grounded Solutions Network,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https://groundedsolutions.org/wp-content/uploads/2018-10/Community%20Land%20Trust%20Technical%20Manual_0.pdf</w:t>
        </w:r>
      </w:hyperlink>
      <w:r w:rsidDel="00000000" w:rsidR="00000000" w:rsidRPr="00000000">
        <w:rPr>
          <w:rtl w:val="0"/>
        </w:rPr>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Land Trust Technical Manual - Grounded Solutions Network,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https://groundedsolutions.org/resources/community-land-trust-technical-manual/</w:t>
        </w:r>
      </w:hyperlink>
      <w:r w:rsidDel="00000000" w:rsidR="00000000" w:rsidRPr="00000000">
        <w:rPr>
          <w:rtl w:val="0"/>
        </w:rPr>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urbanity and the risk of methodological communalism in social ... - GH,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https://gh.copernicus.org/articles/69/99/2014/gh-69-99-2014.pdf</w:t>
        </w:r>
      </w:hyperlink>
      <w:r w:rsidDel="00000000" w:rsidR="00000000" w:rsidRPr="00000000">
        <w:rPr>
          <w:rtl w:val="0"/>
        </w:rPr>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praise of chaotic research pathways: A feminist response to planetary urbanization,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https://www.communityeconomies.org/publications/articles/praise-chaotic-research-pathways-feminist-response-planetary-urbanization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journals.librarypublishing.arizona.edu/jpe/article/4716/galley/4727/view/" TargetMode="External"/><Relationship Id="rId11" Type="http://schemas.openxmlformats.org/officeDocument/2006/relationships/hyperlink" Target="https://www.health.belgium.be/sites/default/files/uploads/fields/fpshealth_theme_file/study_regnerativedevelopment.pdf" TargetMode="External"/><Relationship Id="rId22" Type="http://schemas.openxmlformats.org/officeDocument/2006/relationships/hyperlink" Target="https://groundedsolutions.org/resources/community-land-trust-technical-manual/" TargetMode="External"/><Relationship Id="rId10" Type="http://schemas.openxmlformats.org/officeDocument/2006/relationships/hyperlink" Target="https://www.tandfonline.com/doi/full/10.1080/14747731.2024.2397260" TargetMode="External"/><Relationship Id="rId21" Type="http://schemas.openxmlformats.org/officeDocument/2006/relationships/hyperlink" Target="https://groundedsolutions.org/wp-content/uploads/2018-10/Community%20Land%20Trust%20Technical%20Manual_0.pdf" TargetMode="External"/><Relationship Id="rId13" Type="http://schemas.openxmlformats.org/officeDocument/2006/relationships/hyperlink" Target="https://www.mutualcredit.services/commons-governance" TargetMode="External"/><Relationship Id="rId24" Type="http://schemas.openxmlformats.org/officeDocument/2006/relationships/hyperlink" Target="https://www.communityeconomies.org/publications/articles/praise-chaotic-research-pathways-feminist-response-planetary-urbanization" TargetMode="External"/><Relationship Id="rId12" Type="http://schemas.openxmlformats.org/officeDocument/2006/relationships/hyperlink" Target="https://mcginnis.pages.iu.edu/When%20Is%20Polycentric%20Governance%20Sustainable%20WS%20colloq.pdf" TargetMode="External"/><Relationship Id="rId23" Type="http://schemas.openxmlformats.org/officeDocument/2006/relationships/hyperlink" Target="https://gh.copernicus.org/articles/69/99/2014/gh-69-99-2014.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deas.repec.org/a/eee/ecolec/v69y2010i11p2271-2278.html" TargetMode="External"/><Relationship Id="rId15" Type="http://schemas.openxmlformats.org/officeDocument/2006/relationships/hyperlink" Target="https://monthlyreview.org/articles/neoliberal-co-optation-of-leading-co-op-organizations-and-a-socialist-counter-politics-of-cooperation/" TargetMode="External"/><Relationship Id="rId14" Type="http://schemas.openxmlformats.org/officeDocument/2006/relationships/hyperlink" Target="https://scholar.law.colorado.edu/lawreview/vol78/iss2/4/" TargetMode="External"/><Relationship Id="rId17" Type="http://schemas.openxmlformats.org/officeDocument/2006/relationships/hyperlink" Target="https://www.redalyc.org/journal/3871/387174971004/html/" TargetMode="External"/><Relationship Id="rId16" Type="http://schemas.openxmlformats.org/officeDocument/2006/relationships/hyperlink" Target="https://en.wikipedia.org/wiki/Co-option" TargetMode="External"/><Relationship Id="rId5" Type="http://schemas.openxmlformats.org/officeDocument/2006/relationships/styles" Target="styles.xml"/><Relationship Id="rId19" Type="http://schemas.openxmlformats.org/officeDocument/2006/relationships/hyperlink" Target="https://www.tandfonline.com/doi/full/10.1080/2158379X.2023.2298966" TargetMode="External"/><Relationship Id="rId6" Type="http://schemas.openxmlformats.org/officeDocument/2006/relationships/hyperlink" Target="https://dougbelshaw.com/blog/2009/06/26/four-ways-to-understand-organizational-change/" TargetMode="External"/><Relationship Id="rId18" Type="http://schemas.openxmlformats.org/officeDocument/2006/relationships/hyperlink" Target="https://pmc.ncbi.nlm.nih.gov/articles/PMC5732618/" TargetMode="External"/><Relationship Id="rId7" Type="http://schemas.openxmlformats.org/officeDocument/2006/relationships/hyperlink" Target="https://www.researchgate.net/publication/229139482_Operational_Closure_and_Self-Reference_On_the_Logic_of_Organizational_Change" TargetMode="External"/><Relationship Id="rId8" Type="http://schemas.openxmlformats.org/officeDocument/2006/relationships/hyperlink" Target="https://jasss.soc.surrey.ac.uk/6/1/reviews/goldspink.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